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BBE" w:rsidRPr="00307BBE" w:rsidRDefault="00307BBE" w:rsidP="00307BBE">
      <w:pPr>
        <w:tabs>
          <w:tab w:val="left" w:pos="4155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ZANATSKO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PREDUZETNIČKOJ</w:t>
      </w:r>
      <w:r w:rsidRPr="00307BB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DJELATNOSTI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zanatsko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117/11, 121/12, 67/13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44/16)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8.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„(8)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zanimanja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zanimanja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zanimanja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punoljetan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dospjelih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neizmirenih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neplaćenih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kadrove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djelokrugu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)“.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pisarnici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fotokopira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skenira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neplaćenih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dospjelih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neizmirenih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nepotpun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telefonom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telefaksom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cijelom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padežu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„(11)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obliku.“ 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razmjena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otpremanje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otpreme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zahtijeva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13.00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(15)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neradni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13.00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(16)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otpreme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bilježi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(17)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skenirani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upoređivanje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skeniranog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strani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registruje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vidu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dodatnog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zanimanja</w:t>
      </w:r>
      <w:r w:rsidRPr="00307BBE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pasoša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sezonski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zanimanja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dopunsko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šifru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pretežne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sadržavati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poslovođe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odgađanja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posjedovanju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spoljnotrgovinskom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spoljnotrgovinska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poslovođe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(15)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neusaglašenost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poslovođe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riješi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neusaglašenost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(16)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neusaglašenost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poslovođe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 21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nepotpun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nedostacima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unesenih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šalje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odbacuje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(15)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(16)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(17)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punovažnost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(18)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307BBE" w:rsidRPr="00307BBE" w:rsidRDefault="00307BBE" w:rsidP="00307BBE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rFonts w:eastAsia="Times New Roman"/>
          <w:noProof/>
          <w:lang w:val="sr-Latn-CS"/>
        </w:rPr>
      </w:pPr>
      <w:r w:rsidRPr="00307BBE">
        <w:rPr>
          <w:rFonts w:eastAsia="Times New Roman"/>
          <w:noProof/>
          <w:lang w:val="sr-Latn-CS"/>
        </w:rPr>
        <w:t xml:space="preserve">„(1) </w:t>
      </w:r>
      <w:r>
        <w:rPr>
          <w:rFonts w:eastAsia="Times New Roman"/>
          <w:noProof/>
          <w:lang w:val="sr-Latn-CS"/>
        </w:rPr>
        <w:t>Ako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podnosilac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307BBE">
        <w:rPr>
          <w:rFonts w:eastAsia="Times New Roman"/>
          <w:noProof/>
          <w:lang w:val="sr-Latn-CS"/>
        </w:rPr>
        <w:t xml:space="preserve"> 19. </w:t>
      </w:r>
      <w:r>
        <w:rPr>
          <w:rFonts w:eastAsia="Times New Roman"/>
          <w:noProof/>
          <w:lang w:val="sr-Latn-CS"/>
        </w:rPr>
        <w:t>stav</w:t>
      </w:r>
      <w:r w:rsidRPr="00307BBE">
        <w:rPr>
          <w:rFonts w:eastAsia="Times New Roman"/>
          <w:noProof/>
          <w:lang w:val="sr-Latn-CS"/>
        </w:rPr>
        <w:t xml:space="preserve"> 7. </w:t>
      </w:r>
      <w:r>
        <w:rPr>
          <w:rFonts w:eastAsia="Times New Roman"/>
          <w:noProof/>
          <w:lang w:val="sr-Latn-CS"/>
        </w:rPr>
        <w:t>ovog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307BBE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registracioni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odbacuje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zaključkom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preduzetnika</w:t>
      </w:r>
      <w:r w:rsidRPr="00307BBE">
        <w:rPr>
          <w:rFonts w:eastAsia="Times New Roman"/>
          <w:noProof/>
          <w:lang w:val="sr-Latn-CS"/>
        </w:rPr>
        <w:t xml:space="preserve">. 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rFonts w:eastAsia="Times New Roman"/>
          <w:noProof/>
          <w:lang w:val="sr-Latn-CS"/>
        </w:rPr>
      </w:pPr>
      <w:r w:rsidRPr="00307BBE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Registracioni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odbija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rješenjem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rješenja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preduzetnika</w:t>
      </w:r>
      <w:r w:rsidRPr="00307BBE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307BBE">
        <w:rPr>
          <w:rFonts w:eastAsia="Times New Roman"/>
          <w:noProof/>
          <w:lang w:val="sr-Latn-CS"/>
        </w:rPr>
        <w:t>: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307BBE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podnosilac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obavljanje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obavljati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isključivo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307BBE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ili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307BBE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podnosilac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ispunjava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uslove</w:t>
      </w:r>
      <w:r w:rsidRPr="00307BBE">
        <w:rPr>
          <w:rFonts w:eastAsia="Times New Roman"/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7BBE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stava</w:t>
      </w:r>
      <w:r w:rsidRPr="00307BBE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307BBE">
        <w:rPr>
          <w:noProof/>
          <w:lang w:val="sr-Latn-CS"/>
        </w:rPr>
        <w:t xml:space="preserve">. </w:t>
      </w:r>
      <w:r>
        <w:rPr>
          <w:noProof/>
          <w:lang w:val="sr-Latn-CS"/>
        </w:rPr>
        <w:t>a</w:t>
      </w:r>
      <w:r w:rsidRPr="00307BB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Pr="00307BBE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307BBE">
        <w:rPr>
          <w:noProof/>
          <w:lang w:val="sr-Latn-CS"/>
        </w:rPr>
        <w:t xml:space="preserve"> </w:t>
      </w:r>
    </w:p>
    <w:p w:rsidR="00307BBE" w:rsidRPr="00307BBE" w:rsidRDefault="00307BBE" w:rsidP="00307BBE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izaziva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noProof/>
          <w:lang w:val="sr-Latn-CS"/>
        </w:rPr>
      </w:pPr>
      <w:r w:rsidRPr="00307BBE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7BBE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Pr="00307BBE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307BBE">
        <w:rPr>
          <w:noProof/>
          <w:lang w:val="sr-Latn-CS"/>
        </w:rPr>
        <w:t xml:space="preserve">. </w:t>
      </w:r>
      <w:r>
        <w:rPr>
          <w:noProof/>
          <w:lang w:val="sr-Latn-CS"/>
        </w:rPr>
        <w:t>v</w:t>
      </w:r>
      <w:r w:rsidRPr="00307BBE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307BBE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registracioni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činjenicama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7BBE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riješi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dugovanja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neplaćenih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307BBE">
        <w:rPr>
          <w:noProof/>
          <w:lang w:val="sr-Latn-CS"/>
        </w:rPr>
        <w:t>.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noProof/>
          <w:lang w:val="sr-Latn-CS"/>
        </w:rPr>
      </w:pPr>
      <w:r w:rsidRPr="00307BBE">
        <w:rPr>
          <w:noProof/>
          <w:lang w:val="sr-Latn-CS"/>
        </w:rPr>
        <w:t xml:space="preserve">(4) </w:t>
      </w:r>
      <w:r>
        <w:rPr>
          <w:noProof/>
          <w:lang w:val="sr-Latn-CS"/>
        </w:rPr>
        <w:t>Ako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307BB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registracioni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aplikacije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7BBE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Pr="00307BBE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307BBE">
        <w:rPr>
          <w:noProof/>
          <w:lang w:val="sr-Latn-CS"/>
        </w:rPr>
        <w:t xml:space="preserve">. </w:t>
      </w:r>
      <w:r>
        <w:rPr>
          <w:noProof/>
          <w:lang w:val="sr-Latn-CS"/>
        </w:rPr>
        <w:t>v</w:t>
      </w:r>
      <w:r w:rsidRPr="00307BB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307BBE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Pr="00307BBE">
        <w:rPr>
          <w:noProof/>
          <w:lang w:val="sr-Latn-CS"/>
        </w:rPr>
        <w:t>.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noProof/>
          <w:lang w:val="sr-Latn-CS"/>
        </w:rPr>
      </w:pPr>
      <w:r w:rsidRPr="00307BBE">
        <w:rPr>
          <w:noProof/>
          <w:lang w:val="sr-Latn-CS"/>
        </w:rPr>
        <w:t xml:space="preserve">(5) </w:t>
      </w:r>
      <w:r>
        <w:rPr>
          <w:noProof/>
          <w:lang w:val="sr-Latn-CS"/>
        </w:rPr>
        <w:t>Izuzetno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307BB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izmirenost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provjeriti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aplikacije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registracioni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7BBE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zaprimanja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</w:t>
      </w:r>
      <w:r w:rsidRPr="00307BBE">
        <w:rPr>
          <w:noProof/>
          <w:lang w:val="sr-Latn-CS"/>
        </w:rPr>
        <w:t xml:space="preserve">e </w:t>
      </w:r>
      <w:r>
        <w:rPr>
          <w:noProof/>
          <w:lang w:val="sr-Latn-CS"/>
        </w:rPr>
        <w:t>nadležne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dugovanja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neplaćenih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307BBE">
        <w:rPr>
          <w:noProof/>
          <w:lang w:val="sr-Latn-CS"/>
        </w:rPr>
        <w:t>.</w:t>
      </w:r>
    </w:p>
    <w:p w:rsidR="00307BBE" w:rsidRPr="00307BBE" w:rsidRDefault="00307BBE" w:rsidP="00307BBE">
      <w:pPr>
        <w:pStyle w:val="NoSpacing"/>
        <w:spacing w:before="0" w:after="0" w:line="240" w:lineRule="auto"/>
        <w:ind w:firstLine="360"/>
        <w:jc w:val="both"/>
        <w:rPr>
          <w:noProof/>
          <w:lang w:val="sr-Latn-CS"/>
        </w:rPr>
      </w:pPr>
      <w:r w:rsidRPr="00307BBE">
        <w:rPr>
          <w:noProof/>
          <w:lang w:val="sr-Latn-CS"/>
        </w:rPr>
        <w:t xml:space="preserve">(6) </w:t>
      </w:r>
      <w:r>
        <w:rPr>
          <w:noProof/>
          <w:lang w:val="sr-Latn-CS"/>
        </w:rPr>
        <w:t>Ako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307BB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dospjele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neizmirene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neplaćene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finansijskog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307BBE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registracioni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307BB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Pr="00307BBE">
        <w:rPr>
          <w:noProof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</w:pP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(7)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Protiv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akata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iz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st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. 1, 2, 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i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6.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ovog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člana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kao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i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drugih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akata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donesenih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u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postupku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registracije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preduzetnika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dozvoljena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je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žalba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Ministarstvu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privrede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i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>preduzetništva</w:t>
      </w:r>
      <w:r w:rsidRPr="00307BBE">
        <w:rPr>
          <w:rFonts w:ascii="Times New Roman" w:eastAsia="Times New Roman" w:hAnsi="Times New Roman"/>
          <w:noProof/>
          <w:sz w:val="24"/>
          <w:szCs w:val="24"/>
          <w:lang w:val="sr-Latn-CS" w:eastAsia="zh-CN"/>
        </w:rPr>
        <w:t xml:space="preserve">. 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karakteristični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navodnicima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 (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sadržavati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vrijeđaju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moral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ʹ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ʹ.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istakne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istakne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 (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upiše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(15)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 26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 26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26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26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26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algoritma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promijeniti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26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neobrađenim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promijeni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rezervisano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odustanku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zatvaranju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8.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„(8)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sadržavati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registracionom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sile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„(9)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kasniji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radnu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36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narušavanja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administrator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narušavanjem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 59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18).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59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steknu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tehničkih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odnose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početak</w:t>
      </w:r>
      <w:r w:rsidRPr="00307BBE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postupka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ind w:firstLine="35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4E065E">
        <w:rPr>
          <w:rFonts w:ascii="Times New Roman" w:hAnsi="Times New Roman"/>
          <w:sz w:val="24"/>
          <w:szCs w:val="24"/>
        </w:rPr>
        <w:t>926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307BBE" w:rsidRPr="00307BBE" w:rsidRDefault="00307BBE" w:rsidP="00307BBE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307BBE" w:rsidRPr="00307BBE" w:rsidRDefault="00307BBE" w:rsidP="00307BB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7BBE" w:rsidRPr="00307BBE" w:rsidRDefault="00307BBE" w:rsidP="00307BBE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307BBE" w:rsidRPr="00307BBE" w:rsidRDefault="00307BBE" w:rsidP="00307BBE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307B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07BBE" w:rsidRPr="00307BBE" w:rsidRDefault="00307BBE" w:rsidP="00307BBE">
      <w:pPr>
        <w:spacing w:after="0" w:line="240" w:lineRule="auto"/>
        <w:ind w:firstLine="36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54C5" w:rsidRPr="00307BBE" w:rsidRDefault="00EF54C5">
      <w:pPr>
        <w:rPr>
          <w:noProof/>
          <w:lang w:val="sr-Latn-CS"/>
        </w:rPr>
      </w:pPr>
    </w:p>
    <w:sectPr w:rsidR="00EF54C5" w:rsidRPr="00307BBE" w:rsidSect="001E7DAB">
      <w:pgSz w:w="11909" w:h="16834" w:code="9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A4076"/>
    <w:multiLevelType w:val="hybridMultilevel"/>
    <w:tmpl w:val="3D5ECC0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4A0"/>
    <w:rsid w:val="00307BBE"/>
    <w:rsid w:val="003454A0"/>
    <w:rsid w:val="004E065E"/>
    <w:rsid w:val="0059020F"/>
    <w:rsid w:val="009D015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B6616-49E6-4C56-8F59-AEED2157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B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07BBE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307BBE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307B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5551</Words>
  <Characters>31647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2019-10-14T09:45:00Z</dcterms:created>
  <dcterms:modified xsi:type="dcterms:W3CDTF">2019-10-14T09:45:00Z</dcterms:modified>
</cp:coreProperties>
</file>